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953" w:rsidRDefault="00670953" w:rsidP="00F25A4E">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P 57</w:t>
      </w:r>
    </w:p>
    <w:p w:rsidR="00670953" w:rsidRDefault="007018D6" w:rsidP="00F25A4E">
      <w:pPr>
        <w:spacing w:after="0" w:line="240" w:lineRule="auto"/>
        <w:jc w:val="both"/>
        <w:rPr>
          <w:rFonts w:ascii="Times New Roman" w:eastAsia="Times New Roman" w:hAnsi="Times New Roman" w:cs="Times New Roman"/>
          <w:b/>
          <w:bCs/>
        </w:rPr>
      </w:pPr>
      <w:r w:rsidRPr="00F25A4E">
        <w:rPr>
          <w:rFonts w:ascii="Times New Roman" w:eastAsia="Times New Roman" w:hAnsi="Times New Roman" w:cs="Times New Roman"/>
          <w:b/>
          <w:bCs/>
        </w:rPr>
        <w:t>CARACTERIZACIÓN DE POBLACIÓN DIABÉTICA CON AMPUTACIÓN PERIFÉRICA EN UN HOSPITAL CLÍNICO</w:t>
      </w:r>
    </w:p>
    <w:p w:rsidR="00F25A4E" w:rsidRDefault="007018D6" w:rsidP="00F25A4E">
      <w:pPr>
        <w:spacing w:after="0" w:line="240" w:lineRule="auto"/>
        <w:jc w:val="both"/>
        <w:rPr>
          <w:rFonts w:ascii="Times New Roman" w:eastAsia="Times New Roman" w:hAnsi="Times New Roman" w:cs="Times New Roman"/>
          <w:vertAlign w:val="superscript"/>
        </w:rPr>
      </w:pPr>
      <w:r w:rsidRPr="00F25A4E">
        <w:rPr>
          <w:rFonts w:ascii="Times New Roman" w:eastAsia="Times New Roman" w:hAnsi="Times New Roman" w:cs="Times New Roman"/>
        </w:rPr>
        <w:t>M</w:t>
      </w:r>
      <w:r w:rsidR="00F25A4E">
        <w:rPr>
          <w:rFonts w:ascii="Times New Roman" w:eastAsia="Times New Roman" w:hAnsi="Times New Roman" w:cs="Times New Roman"/>
        </w:rPr>
        <w:t>arcela Candia Hernández</w:t>
      </w:r>
      <w:r w:rsidRPr="00F25A4E">
        <w:rPr>
          <w:rFonts w:ascii="Times New Roman" w:eastAsia="Times New Roman" w:hAnsi="Times New Roman" w:cs="Times New Roman"/>
          <w:vertAlign w:val="superscript"/>
        </w:rPr>
        <w:t>1</w:t>
      </w:r>
      <w:r w:rsidRPr="00F25A4E">
        <w:rPr>
          <w:rFonts w:ascii="Times New Roman" w:eastAsia="Times New Roman" w:hAnsi="Times New Roman" w:cs="Times New Roman"/>
        </w:rPr>
        <w:t>, E</w:t>
      </w:r>
      <w:r w:rsidR="00F25A4E">
        <w:rPr>
          <w:rFonts w:ascii="Times New Roman" w:eastAsia="Times New Roman" w:hAnsi="Times New Roman" w:cs="Times New Roman"/>
        </w:rPr>
        <w:t>steban Pinto Kaliski</w:t>
      </w:r>
      <w:r w:rsidRPr="00F25A4E">
        <w:rPr>
          <w:rFonts w:ascii="Times New Roman" w:eastAsia="Times New Roman" w:hAnsi="Times New Roman" w:cs="Times New Roman"/>
          <w:vertAlign w:val="superscript"/>
        </w:rPr>
        <w:t>3</w:t>
      </w:r>
      <w:r w:rsidRPr="00F25A4E">
        <w:rPr>
          <w:rFonts w:ascii="Times New Roman" w:eastAsia="Times New Roman" w:hAnsi="Times New Roman" w:cs="Times New Roman"/>
        </w:rPr>
        <w:t>, M</w:t>
      </w:r>
      <w:r w:rsidR="00F25A4E">
        <w:rPr>
          <w:rFonts w:ascii="Times New Roman" w:eastAsia="Times New Roman" w:hAnsi="Times New Roman" w:cs="Times New Roman"/>
        </w:rPr>
        <w:t>arcos Estica Rivas</w:t>
      </w:r>
      <w:r w:rsidRPr="00F25A4E">
        <w:rPr>
          <w:rFonts w:ascii="Times New Roman" w:eastAsia="Times New Roman" w:hAnsi="Times New Roman" w:cs="Times New Roman"/>
          <w:vertAlign w:val="superscript"/>
        </w:rPr>
        <w:t>3</w:t>
      </w:r>
      <w:r w:rsidRPr="00F25A4E">
        <w:rPr>
          <w:rFonts w:ascii="Times New Roman" w:eastAsia="Times New Roman" w:hAnsi="Times New Roman" w:cs="Times New Roman"/>
        </w:rPr>
        <w:t>, Juan Pablo Moreno Pérez</w:t>
      </w:r>
      <w:r w:rsidRPr="00F25A4E">
        <w:rPr>
          <w:rFonts w:ascii="Times New Roman" w:eastAsia="Times New Roman" w:hAnsi="Times New Roman" w:cs="Times New Roman"/>
          <w:vertAlign w:val="superscript"/>
        </w:rPr>
        <w:t>2</w:t>
      </w:r>
      <w:r w:rsidRPr="00F25A4E">
        <w:rPr>
          <w:rFonts w:ascii="Times New Roman" w:eastAsia="Times New Roman" w:hAnsi="Times New Roman" w:cs="Times New Roman"/>
        </w:rPr>
        <w:t>, Alejandro Campos Gutiérrez</w:t>
      </w:r>
      <w:r w:rsidRPr="00F25A4E">
        <w:rPr>
          <w:rFonts w:ascii="Times New Roman" w:eastAsia="Times New Roman" w:hAnsi="Times New Roman" w:cs="Times New Roman"/>
          <w:vertAlign w:val="superscript"/>
        </w:rPr>
        <w:t>2</w:t>
      </w:r>
      <w:r w:rsidRPr="00F25A4E">
        <w:rPr>
          <w:rFonts w:ascii="Times New Roman" w:eastAsia="Times New Roman" w:hAnsi="Times New Roman" w:cs="Times New Roman"/>
        </w:rPr>
        <w:t>, Pilar Durruty Alfonso</w:t>
      </w:r>
      <w:r w:rsidRPr="00F25A4E">
        <w:rPr>
          <w:rFonts w:ascii="Times New Roman" w:eastAsia="Times New Roman" w:hAnsi="Times New Roman" w:cs="Times New Roman"/>
          <w:vertAlign w:val="superscript"/>
        </w:rPr>
        <w:t>3</w:t>
      </w:r>
      <w:r w:rsidRPr="00F25A4E">
        <w:rPr>
          <w:rFonts w:ascii="Times New Roman" w:eastAsia="Times New Roman" w:hAnsi="Times New Roman" w:cs="Times New Roman"/>
        </w:rPr>
        <w:t>, G</w:t>
      </w:r>
      <w:r w:rsidR="00F25A4E">
        <w:rPr>
          <w:rFonts w:ascii="Times New Roman" w:eastAsia="Times New Roman" w:hAnsi="Times New Roman" w:cs="Times New Roman"/>
        </w:rPr>
        <w:t>loria López Stewart</w:t>
      </w:r>
      <w:r w:rsidRPr="00F25A4E">
        <w:rPr>
          <w:rFonts w:ascii="Times New Roman" w:eastAsia="Times New Roman" w:hAnsi="Times New Roman" w:cs="Times New Roman"/>
          <w:vertAlign w:val="superscript"/>
        </w:rPr>
        <w:t>3</w:t>
      </w:r>
      <w:r w:rsidRPr="00F25A4E">
        <w:rPr>
          <w:rFonts w:ascii="Times New Roman" w:eastAsia="Times New Roman" w:hAnsi="Times New Roman" w:cs="Times New Roman"/>
        </w:rPr>
        <w:t>, M</w:t>
      </w:r>
      <w:r w:rsidR="00F25A4E">
        <w:rPr>
          <w:rFonts w:ascii="Times New Roman" w:eastAsia="Times New Roman" w:hAnsi="Times New Roman" w:cs="Times New Roman"/>
        </w:rPr>
        <w:t>aría Gabriela Sanzana González</w:t>
      </w:r>
      <w:r w:rsidRPr="00F25A4E">
        <w:rPr>
          <w:rFonts w:ascii="Times New Roman" w:eastAsia="Times New Roman" w:hAnsi="Times New Roman" w:cs="Times New Roman"/>
          <w:vertAlign w:val="superscript"/>
        </w:rPr>
        <w:t>3</w:t>
      </w:r>
    </w:p>
    <w:p w:rsidR="00F25A4E" w:rsidRDefault="007018D6" w:rsidP="00F25A4E">
      <w:pPr>
        <w:spacing w:after="0" w:line="240" w:lineRule="auto"/>
        <w:jc w:val="both"/>
        <w:rPr>
          <w:rFonts w:ascii="Times New Roman" w:eastAsia="Times New Roman" w:hAnsi="Times New Roman" w:cs="Times New Roman"/>
        </w:rPr>
      </w:pPr>
      <w:r w:rsidRPr="00F25A4E">
        <w:rPr>
          <w:rFonts w:ascii="Times New Roman" w:eastAsia="Times New Roman" w:hAnsi="Times New Roman" w:cs="Times New Roman"/>
          <w:vertAlign w:val="superscript"/>
        </w:rPr>
        <w:t>1</w:t>
      </w:r>
      <w:r w:rsidRPr="00F25A4E">
        <w:rPr>
          <w:rFonts w:ascii="Times New Roman" w:eastAsia="Times New Roman" w:hAnsi="Times New Roman" w:cs="Times New Roman"/>
        </w:rPr>
        <w:t xml:space="preserve">Sección Endocrinología y Diabetes; Hospital Clínico de la Universidad de Chile, </w:t>
      </w:r>
      <w:r w:rsidRPr="00F25A4E">
        <w:rPr>
          <w:rFonts w:ascii="Times New Roman" w:eastAsia="Times New Roman" w:hAnsi="Times New Roman" w:cs="Times New Roman"/>
          <w:vertAlign w:val="superscript"/>
        </w:rPr>
        <w:t>2</w:t>
      </w:r>
      <w:r w:rsidRPr="00F25A4E">
        <w:rPr>
          <w:rFonts w:ascii="Times New Roman" w:eastAsia="Times New Roman" w:hAnsi="Times New Roman" w:cs="Times New Roman"/>
        </w:rPr>
        <w:t xml:space="preserve">Departamento Cirugía Vascular; Hospital Clínico Universidad de Chile, </w:t>
      </w:r>
      <w:r w:rsidRPr="00F25A4E">
        <w:rPr>
          <w:rFonts w:ascii="Times New Roman" w:eastAsia="Times New Roman" w:hAnsi="Times New Roman" w:cs="Times New Roman"/>
          <w:vertAlign w:val="superscript"/>
        </w:rPr>
        <w:t>3</w:t>
      </w:r>
      <w:r w:rsidRPr="00F25A4E">
        <w:rPr>
          <w:rFonts w:ascii="Times New Roman" w:eastAsia="Times New Roman" w:hAnsi="Times New Roman" w:cs="Times New Roman"/>
        </w:rPr>
        <w:t>Sección Endocrinología y Diabetes; Hospital Clínico Universidad de Chile</w:t>
      </w:r>
    </w:p>
    <w:p w:rsidR="005635BE" w:rsidRPr="00F25A4E" w:rsidRDefault="007018D6" w:rsidP="00F25A4E">
      <w:pPr>
        <w:spacing w:after="0" w:line="240" w:lineRule="auto"/>
        <w:jc w:val="both"/>
        <w:rPr>
          <w:rFonts w:ascii="Times New Roman" w:hAnsi="Times New Roman" w:cs="Times New Roman"/>
        </w:rPr>
      </w:pPr>
      <w:r w:rsidRPr="00F25A4E">
        <w:rPr>
          <w:rStyle w:val="Textoennegrita"/>
          <w:rFonts w:ascii="Times New Roman" w:hAnsi="Times New Roman" w:cs="Times New Roman"/>
        </w:rPr>
        <w:t>Introducción</w:t>
      </w:r>
    </w:p>
    <w:p w:rsidR="005635BE" w:rsidRPr="00F25A4E" w:rsidRDefault="007018D6" w:rsidP="00F25A4E">
      <w:pPr>
        <w:pStyle w:val="NormalWeb"/>
        <w:spacing w:before="0" w:beforeAutospacing="0" w:after="0" w:afterAutospacing="0"/>
        <w:jc w:val="both"/>
        <w:rPr>
          <w:sz w:val="22"/>
          <w:szCs w:val="22"/>
        </w:rPr>
      </w:pPr>
      <w:r w:rsidRPr="00F25A4E">
        <w:rPr>
          <w:sz w:val="22"/>
          <w:szCs w:val="22"/>
        </w:rPr>
        <w:t xml:space="preserve">El pie diabético es reconocido como la principal causa de amputación no traumática en el mundo constituyéndose en una de las complicaciones más temidas. El conocimiento de las características de esta población podría permitir su prevención, evitar la </w:t>
      </w:r>
      <w:proofErr w:type="spellStart"/>
      <w:r w:rsidRPr="00F25A4E">
        <w:rPr>
          <w:sz w:val="22"/>
          <w:szCs w:val="22"/>
        </w:rPr>
        <w:t>reamputación</w:t>
      </w:r>
      <w:proofErr w:type="spellEnd"/>
      <w:r w:rsidRPr="00F25A4E">
        <w:rPr>
          <w:sz w:val="22"/>
          <w:szCs w:val="22"/>
        </w:rPr>
        <w:t xml:space="preserve"> y fortalecer el manejo multidisciplinario de esta condición.</w:t>
      </w:r>
    </w:p>
    <w:p w:rsidR="005635BE" w:rsidRPr="00F25A4E" w:rsidRDefault="007018D6" w:rsidP="00F25A4E">
      <w:pPr>
        <w:pStyle w:val="NormalWeb"/>
        <w:spacing w:before="0" w:beforeAutospacing="0" w:after="0" w:afterAutospacing="0"/>
        <w:jc w:val="both"/>
        <w:rPr>
          <w:sz w:val="22"/>
          <w:szCs w:val="22"/>
        </w:rPr>
      </w:pPr>
      <w:r w:rsidRPr="00F25A4E">
        <w:rPr>
          <w:rStyle w:val="Textoennegrita"/>
          <w:sz w:val="22"/>
          <w:szCs w:val="22"/>
        </w:rPr>
        <w:t>Objetivos</w:t>
      </w:r>
    </w:p>
    <w:p w:rsidR="005635BE" w:rsidRPr="00F25A4E" w:rsidRDefault="007018D6" w:rsidP="00F25A4E">
      <w:pPr>
        <w:pStyle w:val="NormalWeb"/>
        <w:spacing w:before="0" w:beforeAutospacing="0" w:after="0" w:afterAutospacing="0"/>
        <w:jc w:val="both"/>
        <w:rPr>
          <w:sz w:val="22"/>
          <w:szCs w:val="22"/>
        </w:rPr>
      </w:pPr>
      <w:r w:rsidRPr="00F25A4E">
        <w:rPr>
          <w:sz w:val="22"/>
          <w:szCs w:val="22"/>
        </w:rPr>
        <w:t>Caracterizar a la población diabética amputada por el equipo de cirugía vascular de un hospital clínico durante un año.</w:t>
      </w:r>
    </w:p>
    <w:p w:rsidR="005635BE" w:rsidRPr="00F25A4E" w:rsidRDefault="007018D6" w:rsidP="00F25A4E">
      <w:pPr>
        <w:pStyle w:val="NormalWeb"/>
        <w:spacing w:before="0" w:beforeAutospacing="0" w:after="0" w:afterAutospacing="0"/>
        <w:jc w:val="both"/>
        <w:rPr>
          <w:sz w:val="22"/>
          <w:szCs w:val="22"/>
        </w:rPr>
      </w:pPr>
      <w:r w:rsidRPr="00F25A4E">
        <w:rPr>
          <w:rStyle w:val="Textoennegrita"/>
          <w:sz w:val="22"/>
          <w:szCs w:val="22"/>
        </w:rPr>
        <w:t>Diseño experimental:</w:t>
      </w:r>
      <w:r w:rsidRPr="00F25A4E">
        <w:rPr>
          <w:sz w:val="22"/>
          <w:szCs w:val="22"/>
        </w:rPr>
        <w:t xml:space="preserve"> estudio observacional retrospectivo</w:t>
      </w:r>
    </w:p>
    <w:p w:rsidR="005635BE" w:rsidRPr="00F25A4E" w:rsidRDefault="007018D6" w:rsidP="00F25A4E">
      <w:pPr>
        <w:pStyle w:val="NormalWeb"/>
        <w:spacing w:before="0" w:beforeAutospacing="0" w:after="0" w:afterAutospacing="0"/>
        <w:jc w:val="both"/>
        <w:rPr>
          <w:sz w:val="22"/>
          <w:szCs w:val="22"/>
        </w:rPr>
      </w:pPr>
      <w:r w:rsidRPr="00F25A4E">
        <w:rPr>
          <w:rStyle w:val="Textoennegrita"/>
          <w:sz w:val="22"/>
          <w:szCs w:val="22"/>
        </w:rPr>
        <w:t>Material y métodos</w:t>
      </w:r>
    </w:p>
    <w:p w:rsidR="005635BE" w:rsidRPr="00F25A4E" w:rsidRDefault="007018D6" w:rsidP="00F25A4E">
      <w:pPr>
        <w:pStyle w:val="NormalWeb"/>
        <w:spacing w:before="0" w:beforeAutospacing="0" w:after="0" w:afterAutospacing="0"/>
        <w:jc w:val="both"/>
        <w:rPr>
          <w:sz w:val="22"/>
          <w:szCs w:val="22"/>
        </w:rPr>
      </w:pPr>
      <w:r w:rsidRPr="00F25A4E">
        <w:rPr>
          <w:sz w:val="22"/>
          <w:szCs w:val="22"/>
        </w:rPr>
        <w:t>Se revisaron las fichas clínicas de los diabéticos amputados por cirugía vascular desde Junio de 2017 a Junio de 2018. Se recolectaron datos demográficos, de tratamiento de la diabetes y grado de control metabólico, comorbilidades, evaluación por equipo de diabetes durante hospitalización, tipo de amputación y control posterior por equipos de diabetes, cirugía vascular, fisiatría y policlínico de curaciones. Se calcularon promedios, porcentajes y desviación standard.</w:t>
      </w:r>
    </w:p>
    <w:p w:rsidR="005635BE" w:rsidRPr="00F25A4E" w:rsidRDefault="007018D6" w:rsidP="00F25A4E">
      <w:pPr>
        <w:pStyle w:val="NormalWeb"/>
        <w:spacing w:before="0" w:beforeAutospacing="0" w:after="0" w:afterAutospacing="0"/>
        <w:jc w:val="both"/>
        <w:rPr>
          <w:sz w:val="22"/>
          <w:szCs w:val="22"/>
        </w:rPr>
      </w:pPr>
      <w:r w:rsidRPr="00F25A4E">
        <w:rPr>
          <w:rStyle w:val="Textoennegrita"/>
          <w:sz w:val="22"/>
          <w:szCs w:val="22"/>
        </w:rPr>
        <w:t>Resultados</w:t>
      </w:r>
    </w:p>
    <w:p w:rsidR="005635BE" w:rsidRPr="00F25A4E" w:rsidRDefault="007018D6" w:rsidP="00F25A4E">
      <w:pPr>
        <w:pStyle w:val="NormalWeb"/>
        <w:spacing w:before="0" w:beforeAutospacing="0" w:after="0" w:afterAutospacing="0"/>
        <w:jc w:val="both"/>
        <w:rPr>
          <w:sz w:val="22"/>
          <w:szCs w:val="22"/>
        </w:rPr>
      </w:pPr>
      <w:r w:rsidRPr="00F25A4E">
        <w:rPr>
          <w:sz w:val="22"/>
          <w:szCs w:val="22"/>
        </w:rPr>
        <w:t xml:space="preserve">60 pacientes diabéticos fueron amputados durante el período de 1 año lo que corresponde al 80 % del total de amputaciones. Trece de ellos (22%) fueron </w:t>
      </w:r>
      <w:proofErr w:type="spellStart"/>
      <w:r w:rsidRPr="00F25A4E">
        <w:rPr>
          <w:sz w:val="22"/>
          <w:szCs w:val="22"/>
        </w:rPr>
        <w:t>reamputado</w:t>
      </w:r>
      <w:proofErr w:type="spellEnd"/>
      <w:r w:rsidRPr="00F25A4E">
        <w:rPr>
          <w:sz w:val="22"/>
          <w:szCs w:val="22"/>
        </w:rPr>
        <w:t>.</w:t>
      </w:r>
    </w:p>
    <w:p w:rsidR="005635BE" w:rsidRPr="00F25A4E" w:rsidRDefault="007018D6" w:rsidP="00F25A4E">
      <w:pPr>
        <w:pStyle w:val="NormalWeb"/>
        <w:spacing w:before="0" w:beforeAutospacing="0" w:after="0" w:afterAutospacing="0"/>
        <w:jc w:val="both"/>
        <w:rPr>
          <w:sz w:val="22"/>
          <w:szCs w:val="22"/>
        </w:rPr>
      </w:pPr>
      <w:r w:rsidRPr="00F25A4E">
        <w:rPr>
          <w:sz w:val="22"/>
          <w:szCs w:val="22"/>
        </w:rPr>
        <w:t>En la tabla se muestran las características de los pacientes estudiados.</w:t>
      </w:r>
    </w:p>
    <w:tbl>
      <w:tblPr>
        <w:tblW w:w="903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926"/>
        <w:gridCol w:w="4104"/>
      </w:tblGrid>
      <w:tr w:rsidR="005635BE" w:rsidRPr="00F25A4E">
        <w:trPr>
          <w:tblCellSpacing w:w="15" w:type="dxa"/>
        </w:trPr>
        <w:tc>
          <w:tcPr>
            <w:tcW w:w="4815" w:type="dxa"/>
            <w:tcBorders>
              <w:top w:val="outset" w:sz="6" w:space="0" w:color="auto"/>
              <w:left w:val="outset" w:sz="6" w:space="0" w:color="auto"/>
              <w:bottom w:val="outset" w:sz="6" w:space="0" w:color="auto"/>
              <w:right w:val="outset" w:sz="6" w:space="0" w:color="auto"/>
            </w:tcBorders>
            <w:vAlign w:val="center"/>
            <w:hideMark/>
          </w:tcPr>
          <w:p w:rsidR="005635BE" w:rsidRPr="00F25A4E" w:rsidRDefault="007018D6" w:rsidP="00F25A4E">
            <w:pPr>
              <w:pStyle w:val="NormalWeb"/>
              <w:spacing w:before="0" w:beforeAutospacing="0" w:after="0" w:afterAutospacing="0"/>
              <w:jc w:val="both"/>
              <w:rPr>
                <w:sz w:val="22"/>
                <w:szCs w:val="22"/>
              </w:rPr>
            </w:pPr>
            <w:r w:rsidRPr="00F25A4E">
              <w:rPr>
                <w:sz w:val="22"/>
                <w:szCs w:val="22"/>
              </w:rPr>
              <w:t>Variable</w:t>
            </w:r>
          </w:p>
        </w:tc>
        <w:tc>
          <w:tcPr>
            <w:tcW w:w="4005" w:type="dxa"/>
            <w:tcBorders>
              <w:top w:val="outset" w:sz="6" w:space="0" w:color="auto"/>
              <w:left w:val="outset" w:sz="6" w:space="0" w:color="auto"/>
              <w:bottom w:val="outset" w:sz="6" w:space="0" w:color="auto"/>
              <w:right w:val="outset" w:sz="6" w:space="0" w:color="auto"/>
            </w:tcBorders>
            <w:vAlign w:val="center"/>
            <w:hideMark/>
          </w:tcPr>
          <w:p w:rsidR="005635BE" w:rsidRPr="00F25A4E" w:rsidRDefault="007018D6" w:rsidP="00F25A4E">
            <w:pPr>
              <w:pStyle w:val="NormalWeb"/>
              <w:spacing w:before="0" w:beforeAutospacing="0" w:after="0" w:afterAutospacing="0"/>
              <w:jc w:val="both"/>
              <w:rPr>
                <w:sz w:val="22"/>
                <w:szCs w:val="22"/>
              </w:rPr>
            </w:pPr>
            <w:r w:rsidRPr="00F25A4E">
              <w:rPr>
                <w:sz w:val="22"/>
                <w:szCs w:val="22"/>
              </w:rPr>
              <w:t>N=60</w:t>
            </w:r>
          </w:p>
        </w:tc>
      </w:tr>
      <w:tr w:rsidR="005635BE" w:rsidRPr="00F25A4E">
        <w:trPr>
          <w:tblCellSpacing w:w="15" w:type="dxa"/>
        </w:trPr>
        <w:tc>
          <w:tcPr>
            <w:tcW w:w="4815" w:type="dxa"/>
            <w:tcBorders>
              <w:top w:val="outset" w:sz="6" w:space="0" w:color="auto"/>
              <w:left w:val="outset" w:sz="6" w:space="0" w:color="auto"/>
              <w:bottom w:val="outset" w:sz="6" w:space="0" w:color="auto"/>
              <w:right w:val="outset" w:sz="6" w:space="0" w:color="auto"/>
            </w:tcBorders>
            <w:vAlign w:val="center"/>
            <w:hideMark/>
          </w:tcPr>
          <w:p w:rsidR="005635BE" w:rsidRPr="00F25A4E" w:rsidRDefault="007018D6" w:rsidP="00F25A4E">
            <w:pPr>
              <w:pStyle w:val="NormalWeb"/>
              <w:spacing w:before="0" w:beforeAutospacing="0" w:after="0" w:afterAutospacing="0"/>
              <w:jc w:val="both"/>
              <w:rPr>
                <w:sz w:val="22"/>
                <w:szCs w:val="22"/>
              </w:rPr>
            </w:pPr>
            <w:r w:rsidRPr="00F25A4E">
              <w:rPr>
                <w:sz w:val="22"/>
                <w:szCs w:val="22"/>
              </w:rPr>
              <w:t>Sexo masculino, n (%)</w:t>
            </w:r>
          </w:p>
          <w:p w:rsidR="005635BE" w:rsidRPr="00F25A4E" w:rsidRDefault="007018D6" w:rsidP="00F25A4E">
            <w:pPr>
              <w:pStyle w:val="NormalWeb"/>
              <w:spacing w:before="0" w:beforeAutospacing="0" w:after="0" w:afterAutospacing="0"/>
              <w:jc w:val="both"/>
              <w:rPr>
                <w:sz w:val="22"/>
                <w:szCs w:val="22"/>
              </w:rPr>
            </w:pPr>
            <w:r w:rsidRPr="00F25A4E">
              <w:rPr>
                <w:sz w:val="22"/>
                <w:szCs w:val="22"/>
              </w:rPr>
              <w:t>Edad promedio en años</w:t>
            </w:r>
          </w:p>
          <w:p w:rsidR="005635BE" w:rsidRPr="00F25A4E" w:rsidRDefault="007018D6" w:rsidP="00F25A4E">
            <w:pPr>
              <w:pStyle w:val="NormalWeb"/>
              <w:spacing w:before="0" w:beforeAutospacing="0" w:after="0" w:afterAutospacing="0"/>
              <w:jc w:val="both"/>
              <w:rPr>
                <w:sz w:val="22"/>
                <w:szCs w:val="22"/>
              </w:rPr>
            </w:pPr>
            <w:r w:rsidRPr="00F25A4E">
              <w:rPr>
                <w:sz w:val="22"/>
                <w:szCs w:val="22"/>
              </w:rPr>
              <w:t>Diabetes tipo 2, n (%)</w:t>
            </w:r>
          </w:p>
          <w:p w:rsidR="005635BE" w:rsidRPr="00F25A4E" w:rsidRDefault="007018D6" w:rsidP="00F25A4E">
            <w:pPr>
              <w:pStyle w:val="NormalWeb"/>
              <w:spacing w:before="0" w:beforeAutospacing="0" w:after="0" w:afterAutospacing="0"/>
              <w:jc w:val="both"/>
              <w:rPr>
                <w:sz w:val="22"/>
                <w:szCs w:val="22"/>
              </w:rPr>
            </w:pPr>
            <w:r w:rsidRPr="00F25A4E">
              <w:rPr>
                <w:sz w:val="22"/>
                <w:szCs w:val="22"/>
              </w:rPr>
              <w:t>Duración promedio de la diabetes en años</w:t>
            </w:r>
          </w:p>
          <w:p w:rsidR="005635BE" w:rsidRPr="00F25A4E" w:rsidRDefault="007018D6" w:rsidP="00F25A4E">
            <w:pPr>
              <w:pStyle w:val="NormalWeb"/>
              <w:spacing w:before="0" w:beforeAutospacing="0" w:after="0" w:afterAutospacing="0"/>
              <w:jc w:val="both"/>
              <w:rPr>
                <w:sz w:val="22"/>
                <w:szCs w:val="22"/>
              </w:rPr>
            </w:pPr>
            <w:r w:rsidRPr="00F25A4E">
              <w:rPr>
                <w:sz w:val="22"/>
                <w:szCs w:val="22"/>
              </w:rPr>
              <w:t>Hemoglobina glicosilada (HbA1c) (%)</w:t>
            </w:r>
          </w:p>
          <w:p w:rsidR="005635BE" w:rsidRPr="00F25A4E" w:rsidRDefault="007018D6" w:rsidP="00F25A4E">
            <w:pPr>
              <w:pStyle w:val="NormalWeb"/>
              <w:spacing w:before="0" w:beforeAutospacing="0" w:after="0" w:afterAutospacing="0"/>
              <w:jc w:val="both"/>
              <w:rPr>
                <w:sz w:val="22"/>
                <w:szCs w:val="22"/>
              </w:rPr>
            </w:pPr>
            <w:r w:rsidRPr="00F25A4E">
              <w:rPr>
                <w:sz w:val="22"/>
                <w:szCs w:val="22"/>
              </w:rPr>
              <w:t>Porcentaje HbA1c &gt; 7 (%)</w:t>
            </w:r>
          </w:p>
          <w:p w:rsidR="005635BE" w:rsidRPr="00F25A4E" w:rsidRDefault="007018D6" w:rsidP="00F25A4E">
            <w:pPr>
              <w:pStyle w:val="NormalWeb"/>
              <w:spacing w:before="0" w:beforeAutospacing="0" w:after="0" w:afterAutospacing="0"/>
              <w:jc w:val="both"/>
              <w:rPr>
                <w:sz w:val="22"/>
                <w:szCs w:val="22"/>
              </w:rPr>
            </w:pPr>
            <w:r w:rsidRPr="00F25A4E">
              <w:rPr>
                <w:sz w:val="22"/>
                <w:szCs w:val="22"/>
              </w:rPr>
              <w:t>Glicemia al ingreso (mg/dL)</w:t>
            </w:r>
          </w:p>
          <w:p w:rsidR="005635BE" w:rsidRPr="00F25A4E" w:rsidRDefault="007018D6" w:rsidP="00F25A4E">
            <w:pPr>
              <w:pStyle w:val="NormalWeb"/>
              <w:spacing w:before="0" w:beforeAutospacing="0" w:after="0" w:afterAutospacing="0"/>
              <w:jc w:val="both"/>
              <w:rPr>
                <w:sz w:val="22"/>
                <w:szCs w:val="22"/>
              </w:rPr>
            </w:pPr>
            <w:r w:rsidRPr="00F25A4E">
              <w:rPr>
                <w:rStyle w:val="Textoennegrita"/>
                <w:sz w:val="22"/>
                <w:szCs w:val="22"/>
              </w:rPr>
              <w:t>Tratamiento previo, n (%)</w:t>
            </w:r>
          </w:p>
          <w:p w:rsidR="005635BE" w:rsidRPr="00F25A4E" w:rsidRDefault="007018D6" w:rsidP="00F25A4E">
            <w:pPr>
              <w:pStyle w:val="NormalWeb"/>
              <w:spacing w:before="0" w:beforeAutospacing="0" w:after="0" w:afterAutospacing="0"/>
              <w:jc w:val="both"/>
              <w:rPr>
                <w:sz w:val="22"/>
                <w:szCs w:val="22"/>
              </w:rPr>
            </w:pPr>
            <w:r w:rsidRPr="00F25A4E">
              <w:rPr>
                <w:sz w:val="22"/>
                <w:szCs w:val="22"/>
              </w:rPr>
              <w:t>Sin tratamiento</w:t>
            </w:r>
          </w:p>
          <w:p w:rsidR="005635BE" w:rsidRPr="00F25A4E" w:rsidRDefault="007018D6" w:rsidP="00F25A4E">
            <w:pPr>
              <w:pStyle w:val="NormalWeb"/>
              <w:spacing w:before="0" w:beforeAutospacing="0" w:after="0" w:afterAutospacing="0"/>
              <w:jc w:val="both"/>
              <w:rPr>
                <w:sz w:val="22"/>
                <w:szCs w:val="22"/>
              </w:rPr>
            </w:pPr>
            <w:r w:rsidRPr="00F25A4E">
              <w:rPr>
                <w:sz w:val="22"/>
                <w:szCs w:val="22"/>
              </w:rPr>
              <w:t>Antidiabéticos orales (ADO)</w:t>
            </w:r>
          </w:p>
          <w:p w:rsidR="005635BE" w:rsidRPr="00F25A4E" w:rsidRDefault="007018D6" w:rsidP="00F25A4E">
            <w:pPr>
              <w:pStyle w:val="NormalWeb"/>
              <w:spacing w:before="0" w:beforeAutospacing="0" w:after="0" w:afterAutospacing="0"/>
              <w:jc w:val="both"/>
              <w:rPr>
                <w:sz w:val="22"/>
                <w:szCs w:val="22"/>
              </w:rPr>
            </w:pPr>
            <w:r w:rsidRPr="00F25A4E">
              <w:rPr>
                <w:sz w:val="22"/>
                <w:szCs w:val="22"/>
              </w:rPr>
              <w:t>Insulina</w:t>
            </w:r>
          </w:p>
          <w:p w:rsidR="005635BE" w:rsidRPr="00F25A4E" w:rsidRDefault="007018D6" w:rsidP="00F25A4E">
            <w:pPr>
              <w:pStyle w:val="NormalWeb"/>
              <w:spacing w:before="0" w:beforeAutospacing="0" w:after="0" w:afterAutospacing="0"/>
              <w:jc w:val="both"/>
              <w:rPr>
                <w:sz w:val="22"/>
                <w:szCs w:val="22"/>
              </w:rPr>
            </w:pPr>
            <w:r w:rsidRPr="00F25A4E">
              <w:rPr>
                <w:sz w:val="22"/>
                <w:szCs w:val="22"/>
              </w:rPr>
              <w:t>Insulina más ADO</w:t>
            </w:r>
          </w:p>
          <w:p w:rsidR="005635BE" w:rsidRPr="00F25A4E" w:rsidRDefault="007018D6" w:rsidP="00F25A4E">
            <w:pPr>
              <w:pStyle w:val="NormalWeb"/>
              <w:spacing w:before="0" w:beforeAutospacing="0" w:after="0" w:afterAutospacing="0"/>
              <w:jc w:val="both"/>
              <w:rPr>
                <w:sz w:val="22"/>
                <w:szCs w:val="22"/>
              </w:rPr>
            </w:pPr>
            <w:r w:rsidRPr="00F25A4E">
              <w:rPr>
                <w:sz w:val="22"/>
                <w:szCs w:val="22"/>
              </w:rPr>
              <w:t>Desconocido</w:t>
            </w:r>
          </w:p>
          <w:p w:rsidR="005635BE" w:rsidRPr="00F25A4E" w:rsidRDefault="007018D6" w:rsidP="00F25A4E">
            <w:pPr>
              <w:pStyle w:val="NormalWeb"/>
              <w:spacing w:before="0" w:beforeAutospacing="0" w:after="0" w:afterAutospacing="0"/>
              <w:jc w:val="both"/>
              <w:rPr>
                <w:sz w:val="22"/>
                <w:szCs w:val="22"/>
              </w:rPr>
            </w:pPr>
            <w:r w:rsidRPr="00F25A4E">
              <w:rPr>
                <w:rStyle w:val="Textoennegrita"/>
                <w:sz w:val="22"/>
                <w:szCs w:val="22"/>
              </w:rPr>
              <w:t>Complicaciones microvasculares, n (%)</w:t>
            </w:r>
          </w:p>
          <w:p w:rsidR="005635BE" w:rsidRPr="00F25A4E" w:rsidRDefault="007018D6" w:rsidP="00F25A4E">
            <w:pPr>
              <w:pStyle w:val="NormalWeb"/>
              <w:spacing w:before="0" w:beforeAutospacing="0" w:after="0" w:afterAutospacing="0"/>
              <w:jc w:val="both"/>
              <w:rPr>
                <w:sz w:val="22"/>
                <w:szCs w:val="22"/>
              </w:rPr>
            </w:pPr>
            <w:r w:rsidRPr="00F25A4E">
              <w:rPr>
                <w:sz w:val="22"/>
                <w:szCs w:val="22"/>
              </w:rPr>
              <w:t>Retinopatía</w:t>
            </w:r>
          </w:p>
          <w:p w:rsidR="005635BE" w:rsidRPr="00F25A4E" w:rsidRDefault="007018D6" w:rsidP="00F25A4E">
            <w:pPr>
              <w:pStyle w:val="NormalWeb"/>
              <w:spacing w:before="0" w:beforeAutospacing="0" w:after="0" w:afterAutospacing="0"/>
              <w:jc w:val="both"/>
              <w:rPr>
                <w:sz w:val="22"/>
                <w:szCs w:val="22"/>
              </w:rPr>
            </w:pPr>
            <w:r w:rsidRPr="00F25A4E">
              <w:rPr>
                <w:sz w:val="22"/>
                <w:szCs w:val="22"/>
              </w:rPr>
              <w:t>Nefropatía</w:t>
            </w:r>
          </w:p>
          <w:p w:rsidR="005635BE" w:rsidRPr="00F25A4E" w:rsidRDefault="007018D6" w:rsidP="00F25A4E">
            <w:pPr>
              <w:pStyle w:val="NormalWeb"/>
              <w:spacing w:before="0" w:beforeAutospacing="0" w:after="0" w:afterAutospacing="0"/>
              <w:jc w:val="both"/>
              <w:rPr>
                <w:sz w:val="22"/>
                <w:szCs w:val="22"/>
              </w:rPr>
            </w:pPr>
            <w:r w:rsidRPr="00F25A4E">
              <w:rPr>
                <w:sz w:val="22"/>
                <w:szCs w:val="22"/>
              </w:rPr>
              <w:t>Neuropatía</w:t>
            </w:r>
          </w:p>
          <w:p w:rsidR="005635BE" w:rsidRPr="00F25A4E" w:rsidRDefault="007018D6" w:rsidP="00F25A4E">
            <w:pPr>
              <w:pStyle w:val="NormalWeb"/>
              <w:spacing w:before="0" w:beforeAutospacing="0" w:after="0" w:afterAutospacing="0"/>
              <w:jc w:val="both"/>
              <w:rPr>
                <w:sz w:val="22"/>
                <w:szCs w:val="22"/>
              </w:rPr>
            </w:pPr>
            <w:r w:rsidRPr="00F25A4E">
              <w:rPr>
                <w:rStyle w:val="Textoennegrita"/>
                <w:sz w:val="22"/>
                <w:szCs w:val="22"/>
              </w:rPr>
              <w:t>Comorbilidades, n (%)</w:t>
            </w:r>
          </w:p>
          <w:p w:rsidR="005635BE" w:rsidRPr="00F25A4E" w:rsidRDefault="007018D6" w:rsidP="00F25A4E">
            <w:pPr>
              <w:pStyle w:val="NormalWeb"/>
              <w:spacing w:before="0" w:beforeAutospacing="0" w:after="0" w:afterAutospacing="0"/>
              <w:jc w:val="both"/>
              <w:rPr>
                <w:sz w:val="22"/>
                <w:szCs w:val="22"/>
              </w:rPr>
            </w:pPr>
            <w:r w:rsidRPr="00F25A4E">
              <w:rPr>
                <w:sz w:val="22"/>
                <w:szCs w:val="22"/>
              </w:rPr>
              <w:t>Hipertensión arterial</w:t>
            </w:r>
          </w:p>
          <w:p w:rsidR="005635BE" w:rsidRPr="00F25A4E" w:rsidRDefault="007018D6" w:rsidP="00F25A4E">
            <w:pPr>
              <w:pStyle w:val="NormalWeb"/>
              <w:spacing w:before="0" w:beforeAutospacing="0" w:after="0" w:afterAutospacing="0"/>
              <w:jc w:val="both"/>
              <w:rPr>
                <w:sz w:val="22"/>
                <w:szCs w:val="22"/>
              </w:rPr>
            </w:pPr>
            <w:r w:rsidRPr="00F25A4E">
              <w:rPr>
                <w:sz w:val="22"/>
                <w:szCs w:val="22"/>
              </w:rPr>
              <w:t>Dislipidemia</w:t>
            </w:r>
          </w:p>
          <w:p w:rsidR="005635BE" w:rsidRPr="00F25A4E" w:rsidRDefault="007018D6" w:rsidP="00F25A4E">
            <w:pPr>
              <w:pStyle w:val="NormalWeb"/>
              <w:spacing w:before="0" w:beforeAutospacing="0" w:after="0" w:afterAutospacing="0"/>
              <w:jc w:val="both"/>
              <w:rPr>
                <w:sz w:val="22"/>
                <w:szCs w:val="22"/>
              </w:rPr>
            </w:pPr>
            <w:r w:rsidRPr="00F25A4E">
              <w:rPr>
                <w:sz w:val="22"/>
                <w:szCs w:val="22"/>
              </w:rPr>
              <w:t>Tabaco</w:t>
            </w:r>
          </w:p>
        </w:tc>
        <w:tc>
          <w:tcPr>
            <w:tcW w:w="4005" w:type="dxa"/>
            <w:tcBorders>
              <w:top w:val="outset" w:sz="6" w:space="0" w:color="auto"/>
              <w:left w:val="outset" w:sz="6" w:space="0" w:color="auto"/>
              <w:bottom w:val="outset" w:sz="6" w:space="0" w:color="auto"/>
              <w:right w:val="outset" w:sz="6" w:space="0" w:color="auto"/>
            </w:tcBorders>
            <w:vAlign w:val="center"/>
            <w:hideMark/>
          </w:tcPr>
          <w:p w:rsidR="005635BE" w:rsidRPr="00F25A4E" w:rsidRDefault="007018D6" w:rsidP="00F25A4E">
            <w:pPr>
              <w:pStyle w:val="NormalWeb"/>
              <w:spacing w:before="0" w:beforeAutospacing="0" w:after="0" w:afterAutospacing="0"/>
              <w:jc w:val="both"/>
              <w:rPr>
                <w:sz w:val="22"/>
                <w:szCs w:val="22"/>
              </w:rPr>
            </w:pPr>
            <w:r w:rsidRPr="00F25A4E">
              <w:rPr>
                <w:sz w:val="22"/>
                <w:szCs w:val="22"/>
              </w:rPr>
              <w:t>50 (83)</w:t>
            </w:r>
          </w:p>
          <w:p w:rsidR="005635BE" w:rsidRPr="00F25A4E" w:rsidRDefault="007018D6" w:rsidP="00F25A4E">
            <w:pPr>
              <w:pStyle w:val="NormalWeb"/>
              <w:spacing w:before="0" w:beforeAutospacing="0" w:after="0" w:afterAutospacing="0"/>
              <w:jc w:val="both"/>
              <w:rPr>
                <w:sz w:val="22"/>
                <w:szCs w:val="22"/>
              </w:rPr>
            </w:pPr>
            <w:r w:rsidRPr="00F25A4E">
              <w:rPr>
                <w:sz w:val="22"/>
                <w:szCs w:val="22"/>
              </w:rPr>
              <w:t>65 (40-95)</w:t>
            </w:r>
          </w:p>
          <w:p w:rsidR="005635BE" w:rsidRPr="00F25A4E" w:rsidRDefault="007018D6" w:rsidP="00F25A4E">
            <w:pPr>
              <w:pStyle w:val="NormalWeb"/>
              <w:spacing w:before="0" w:beforeAutospacing="0" w:after="0" w:afterAutospacing="0"/>
              <w:jc w:val="both"/>
              <w:rPr>
                <w:sz w:val="22"/>
                <w:szCs w:val="22"/>
              </w:rPr>
            </w:pPr>
            <w:r w:rsidRPr="00F25A4E">
              <w:rPr>
                <w:sz w:val="22"/>
                <w:szCs w:val="22"/>
              </w:rPr>
              <w:t>59 (98)</w:t>
            </w:r>
          </w:p>
          <w:p w:rsidR="005635BE" w:rsidRPr="00F25A4E" w:rsidRDefault="007018D6" w:rsidP="00F25A4E">
            <w:pPr>
              <w:pStyle w:val="NormalWeb"/>
              <w:spacing w:before="0" w:beforeAutospacing="0" w:after="0" w:afterAutospacing="0"/>
              <w:jc w:val="both"/>
              <w:rPr>
                <w:sz w:val="22"/>
                <w:szCs w:val="22"/>
              </w:rPr>
            </w:pPr>
            <w:r w:rsidRPr="00F25A4E">
              <w:rPr>
                <w:sz w:val="22"/>
                <w:szCs w:val="22"/>
              </w:rPr>
              <w:t>17 (0-40)</w:t>
            </w:r>
          </w:p>
          <w:p w:rsidR="005635BE" w:rsidRPr="00F25A4E" w:rsidRDefault="007018D6" w:rsidP="00F25A4E">
            <w:pPr>
              <w:pStyle w:val="NormalWeb"/>
              <w:spacing w:before="0" w:beforeAutospacing="0" w:after="0" w:afterAutospacing="0"/>
              <w:jc w:val="both"/>
              <w:rPr>
                <w:sz w:val="22"/>
                <w:szCs w:val="22"/>
              </w:rPr>
            </w:pPr>
            <w:r w:rsidRPr="00F25A4E">
              <w:rPr>
                <w:sz w:val="22"/>
                <w:szCs w:val="22"/>
              </w:rPr>
              <w:t>8,8 ± 2,2</w:t>
            </w:r>
          </w:p>
          <w:p w:rsidR="005635BE" w:rsidRPr="00F25A4E" w:rsidRDefault="007018D6" w:rsidP="00F25A4E">
            <w:pPr>
              <w:pStyle w:val="NormalWeb"/>
              <w:spacing w:before="0" w:beforeAutospacing="0" w:after="0" w:afterAutospacing="0"/>
              <w:jc w:val="both"/>
              <w:rPr>
                <w:sz w:val="22"/>
                <w:szCs w:val="22"/>
              </w:rPr>
            </w:pPr>
            <w:r w:rsidRPr="00F25A4E">
              <w:rPr>
                <w:sz w:val="22"/>
                <w:szCs w:val="22"/>
              </w:rPr>
              <w:t>76%</w:t>
            </w:r>
          </w:p>
          <w:p w:rsidR="005635BE" w:rsidRPr="00F25A4E" w:rsidRDefault="007018D6" w:rsidP="00F25A4E">
            <w:pPr>
              <w:pStyle w:val="NormalWeb"/>
              <w:spacing w:before="0" w:beforeAutospacing="0" w:after="0" w:afterAutospacing="0"/>
              <w:jc w:val="both"/>
              <w:rPr>
                <w:sz w:val="22"/>
                <w:szCs w:val="22"/>
              </w:rPr>
            </w:pPr>
            <w:r w:rsidRPr="00F25A4E">
              <w:rPr>
                <w:sz w:val="22"/>
                <w:szCs w:val="22"/>
              </w:rPr>
              <w:t>182 ± 110</w:t>
            </w:r>
          </w:p>
          <w:p w:rsidR="005635BE" w:rsidRPr="00F25A4E" w:rsidRDefault="007018D6" w:rsidP="00F25A4E">
            <w:pPr>
              <w:pStyle w:val="NormalWeb"/>
              <w:spacing w:before="0" w:beforeAutospacing="0" w:after="0" w:afterAutospacing="0"/>
              <w:jc w:val="both"/>
              <w:rPr>
                <w:sz w:val="22"/>
                <w:szCs w:val="22"/>
              </w:rPr>
            </w:pPr>
            <w:r w:rsidRPr="00F25A4E">
              <w:rPr>
                <w:sz w:val="22"/>
                <w:szCs w:val="22"/>
              </w:rPr>
              <w:t>2 (3)</w:t>
            </w:r>
          </w:p>
          <w:p w:rsidR="005635BE" w:rsidRPr="00F25A4E" w:rsidRDefault="007018D6" w:rsidP="00F25A4E">
            <w:pPr>
              <w:pStyle w:val="NormalWeb"/>
              <w:spacing w:before="0" w:beforeAutospacing="0" w:after="0" w:afterAutospacing="0"/>
              <w:jc w:val="both"/>
              <w:rPr>
                <w:sz w:val="22"/>
                <w:szCs w:val="22"/>
              </w:rPr>
            </w:pPr>
            <w:r w:rsidRPr="00F25A4E">
              <w:rPr>
                <w:sz w:val="22"/>
                <w:szCs w:val="22"/>
              </w:rPr>
              <w:t>17 (28)</w:t>
            </w:r>
          </w:p>
          <w:p w:rsidR="005635BE" w:rsidRPr="00F25A4E" w:rsidRDefault="007018D6" w:rsidP="00F25A4E">
            <w:pPr>
              <w:pStyle w:val="NormalWeb"/>
              <w:spacing w:before="0" w:beforeAutospacing="0" w:after="0" w:afterAutospacing="0"/>
              <w:jc w:val="both"/>
              <w:rPr>
                <w:sz w:val="22"/>
                <w:szCs w:val="22"/>
              </w:rPr>
            </w:pPr>
            <w:r w:rsidRPr="00F25A4E">
              <w:rPr>
                <w:sz w:val="22"/>
                <w:szCs w:val="22"/>
              </w:rPr>
              <w:t>19 (32)</w:t>
            </w:r>
          </w:p>
          <w:p w:rsidR="005635BE" w:rsidRPr="00F25A4E" w:rsidRDefault="007018D6" w:rsidP="00F25A4E">
            <w:pPr>
              <w:pStyle w:val="NormalWeb"/>
              <w:spacing w:before="0" w:beforeAutospacing="0" w:after="0" w:afterAutospacing="0"/>
              <w:jc w:val="both"/>
              <w:rPr>
                <w:sz w:val="22"/>
                <w:szCs w:val="22"/>
              </w:rPr>
            </w:pPr>
            <w:r w:rsidRPr="00F25A4E">
              <w:rPr>
                <w:sz w:val="22"/>
                <w:szCs w:val="22"/>
              </w:rPr>
              <w:t>18 (30)</w:t>
            </w:r>
          </w:p>
          <w:p w:rsidR="005635BE" w:rsidRPr="00F25A4E" w:rsidRDefault="007018D6" w:rsidP="00F25A4E">
            <w:pPr>
              <w:pStyle w:val="NormalWeb"/>
              <w:spacing w:before="0" w:beforeAutospacing="0" w:after="0" w:afterAutospacing="0"/>
              <w:jc w:val="both"/>
              <w:rPr>
                <w:sz w:val="22"/>
                <w:szCs w:val="22"/>
              </w:rPr>
            </w:pPr>
            <w:r w:rsidRPr="00F25A4E">
              <w:rPr>
                <w:sz w:val="22"/>
                <w:szCs w:val="22"/>
              </w:rPr>
              <w:t>4 (7)</w:t>
            </w:r>
          </w:p>
          <w:p w:rsidR="005635BE" w:rsidRPr="00F25A4E" w:rsidRDefault="007018D6" w:rsidP="00F25A4E">
            <w:pPr>
              <w:pStyle w:val="NormalWeb"/>
              <w:spacing w:before="0" w:beforeAutospacing="0" w:after="0" w:afterAutospacing="0"/>
              <w:jc w:val="both"/>
              <w:rPr>
                <w:sz w:val="22"/>
                <w:szCs w:val="22"/>
              </w:rPr>
            </w:pPr>
            <w:r w:rsidRPr="00F25A4E">
              <w:rPr>
                <w:sz w:val="22"/>
                <w:szCs w:val="22"/>
              </w:rPr>
              <w:t>15 (25)</w:t>
            </w:r>
          </w:p>
          <w:p w:rsidR="005635BE" w:rsidRPr="00F25A4E" w:rsidRDefault="007018D6" w:rsidP="00F25A4E">
            <w:pPr>
              <w:pStyle w:val="NormalWeb"/>
              <w:spacing w:before="0" w:beforeAutospacing="0" w:after="0" w:afterAutospacing="0"/>
              <w:jc w:val="both"/>
              <w:rPr>
                <w:sz w:val="22"/>
                <w:szCs w:val="22"/>
              </w:rPr>
            </w:pPr>
            <w:r w:rsidRPr="00F25A4E">
              <w:rPr>
                <w:sz w:val="22"/>
                <w:szCs w:val="22"/>
              </w:rPr>
              <w:t>12 (20)</w:t>
            </w:r>
          </w:p>
          <w:p w:rsidR="005635BE" w:rsidRPr="00F25A4E" w:rsidRDefault="007018D6" w:rsidP="00F25A4E">
            <w:pPr>
              <w:pStyle w:val="NormalWeb"/>
              <w:spacing w:before="0" w:beforeAutospacing="0" w:after="0" w:afterAutospacing="0"/>
              <w:jc w:val="both"/>
              <w:rPr>
                <w:sz w:val="22"/>
                <w:szCs w:val="22"/>
              </w:rPr>
            </w:pPr>
            <w:r w:rsidRPr="00F25A4E">
              <w:rPr>
                <w:sz w:val="22"/>
                <w:szCs w:val="22"/>
              </w:rPr>
              <w:t>27 (45)</w:t>
            </w:r>
          </w:p>
          <w:p w:rsidR="005635BE" w:rsidRPr="00F25A4E" w:rsidRDefault="007018D6" w:rsidP="00F25A4E">
            <w:pPr>
              <w:pStyle w:val="NormalWeb"/>
              <w:spacing w:before="0" w:beforeAutospacing="0" w:after="0" w:afterAutospacing="0"/>
              <w:jc w:val="both"/>
              <w:rPr>
                <w:sz w:val="22"/>
                <w:szCs w:val="22"/>
              </w:rPr>
            </w:pPr>
            <w:r w:rsidRPr="00F25A4E">
              <w:rPr>
                <w:sz w:val="22"/>
                <w:szCs w:val="22"/>
              </w:rPr>
              <w:t>42 (70)</w:t>
            </w:r>
          </w:p>
          <w:p w:rsidR="005635BE" w:rsidRPr="00F25A4E" w:rsidRDefault="007018D6" w:rsidP="00F25A4E">
            <w:pPr>
              <w:pStyle w:val="NormalWeb"/>
              <w:spacing w:before="0" w:beforeAutospacing="0" w:after="0" w:afterAutospacing="0"/>
              <w:jc w:val="both"/>
              <w:rPr>
                <w:sz w:val="22"/>
                <w:szCs w:val="22"/>
              </w:rPr>
            </w:pPr>
            <w:r w:rsidRPr="00F25A4E">
              <w:rPr>
                <w:sz w:val="22"/>
                <w:szCs w:val="22"/>
              </w:rPr>
              <w:t>16 (27)</w:t>
            </w:r>
          </w:p>
          <w:p w:rsidR="005635BE" w:rsidRPr="00F25A4E" w:rsidRDefault="007018D6" w:rsidP="00F25A4E">
            <w:pPr>
              <w:pStyle w:val="NormalWeb"/>
              <w:spacing w:before="0" w:beforeAutospacing="0" w:after="0" w:afterAutospacing="0"/>
              <w:jc w:val="both"/>
              <w:rPr>
                <w:sz w:val="22"/>
                <w:szCs w:val="22"/>
              </w:rPr>
            </w:pPr>
            <w:r w:rsidRPr="00F25A4E">
              <w:rPr>
                <w:sz w:val="22"/>
                <w:szCs w:val="22"/>
              </w:rPr>
              <w:t>16 (27)</w:t>
            </w:r>
          </w:p>
        </w:tc>
      </w:tr>
    </w:tbl>
    <w:p w:rsidR="005635BE" w:rsidRPr="00F25A4E" w:rsidRDefault="007018D6" w:rsidP="00F25A4E">
      <w:pPr>
        <w:pStyle w:val="NormalWeb"/>
        <w:spacing w:before="0" w:beforeAutospacing="0" w:after="0" w:afterAutospacing="0"/>
        <w:jc w:val="both"/>
        <w:rPr>
          <w:sz w:val="22"/>
          <w:szCs w:val="22"/>
        </w:rPr>
      </w:pPr>
      <w:r w:rsidRPr="00F25A4E">
        <w:rPr>
          <w:sz w:val="22"/>
          <w:szCs w:val="22"/>
        </w:rPr>
        <w:t xml:space="preserve">El 55% tenía una amputación previa y un 45% enfermedad cardiovascular concomitante siendo la enfermedad arterial periférica la más frecuente (42%). El 72 % fueron amputaciones menores. Localización: 65% </w:t>
      </w:r>
      <w:proofErr w:type="spellStart"/>
      <w:r w:rsidRPr="00F25A4E">
        <w:rPr>
          <w:sz w:val="22"/>
          <w:szCs w:val="22"/>
        </w:rPr>
        <w:t>ortejos</w:t>
      </w:r>
      <w:proofErr w:type="spellEnd"/>
      <w:r w:rsidRPr="00F25A4E">
        <w:rPr>
          <w:sz w:val="22"/>
          <w:szCs w:val="22"/>
        </w:rPr>
        <w:t xml:space="preserve">, 7% </w:t>
      </w:r>
      <w:proofErr w:type="spellStart"/>
      <w:r w:rsidRPr="00F25A4E">
        <w:rPr>
          <w:sz w:val="22"/>
          <w:szCs w:val="22"/>
        </w:rPr>
        <w:t>transmetatarsiana</w:t>
      </w:r>
      <w:proofErr w:type="spellEnd"/>
      <w:r w:rsidRPr="00F25A4E">
        <w:rPr>
          <w:sz w:val="22"/>
          <w:szCs w:val="22"/>
        </w:rPr>
        <w:t xml:space="preserve">, 17% </w:t>
      </w:r>
      <w:proofErr w:type="spellStart"/>
      <w:r w:rsidRPr="00F25A4E">
        <w:rPr>
          <w:sz w:val="22"/>
          <w:szCs w:val="22"/>
        </w:rPr>
        <w:t>infracondílea</w:t>
      </w:r>
      <w:proofErr w:type="spellEnd"/>
      <w:r w:rsidRPr="00F25A4E">
        <w:rPr>
          <w:sz w:val="22"/>
          <w:szCs w:val="22"/>
        </w:rPr>
        <w:t xml:space="preserve"> y 12% </w:t>
      </w:r>
      <w:proofErr w:type="spellStart"/>
      <w:r w:rsidRPr="00F25A4E">
        <w:rPr>
          <w:sz w:val="22"/>
          <w:szCs w:val="22"/>
        </w:rPr>
        <w:t>supracondílea</w:t>
      </w:r>
      <w:proofErr w:type="spellEnd"/>
      <w:r w:rsidRPr="00F25A4E">
        <w:rPr>
          <w:sz w:val="22"/>
          <w:szCs w:val="22"/>
        </w:rPr>
        <w:t>.</w:t>
      </w:r>
    </w:p>
    <w:p w:rsidR="005635BE" w:rsidRPr="00F25A4E" w:rsidRDefault="007018D6" w:rsidP="00F25A4E">
      <w:pPr>
        <w:pStyle w:val="NormalWeb"/>
        <w:spacing w:before="0" w:beforeAutospacing="0" w:after="0" w:afterAutospacing="0"/>
        <w:jc w:val="both"/>
        <w:rPr>
          <w:sz w:val="22"/>
          <w:szCs w:val="22"/>
        </w:rPr>
      </w:pPr>
      <w:r w:rsidRPr="00F25A4E">
        <w:rPr>
          <w:sz w:val="22"/>
          <w:szCs w:val="22"/>
        </w:rPr>
        <w:t>La hospitalización promedio fue de 18 días (1-221).</w:t>
      </w:r>
    </w:p>
    <w:p w:rsidR="005635BE" w:rsidRPr="00F25A4E" w:rsidRDefault="007018D6" w:rsidP="00F25A4E">
      <w:pPr>
        <w:pStyle w:val="NormalWeb"/>
        <w:spacing w:before="0" w:beforeAutospacing="0" w:after="0" w:afterAutospacing="0"/>
        <w:jc w:val="both"/>
        <w:rPr>
          <w:sz w:val="22"/>
          <w:szCs w:val="22"/>
        </w:rPr>
      </w:pPr>
      <w:r w:rsidRPr="00F25A4E">
        <w:rPr>
          <w:sz w:val="22"/>
          <w:szCs w:val="22"/>
        </w:rPr>
        <w:t>Durante la hospitalización el 65% fue evaluado por equipo de diabetes, pero sólo el 18% siguió en control posterior. Los controles por el equipo de vascular fueron del 72%, policlínico de curaciones 47% y por fisiatría 38%.</w:t>
      </w:r>
    </w:p>
    <w:p w:rsidR="005635BE" w:rsidRPr="00F25A4E" w:rsidRDefault="007018D6" w:rsidP="00F25A4E">
      <w:pPr>
        <w:pStyle w:val="NormalWeb"/>
        <w:spacing w:before="0" w:beforeAutospacing="0" w:after="0" w:afterAutospacing="0"/>
        <w:jc w:val="both"/>
        <w:rPr>
          <w:sz w:val="22"/>
          <w:szCs w:val="22"/>
        </w:rPr>
      </w:pPr>
      <w:r w:rsidRPr="00F25A4E">
        <w:rPr>
          <w:rStyle w:val="Textoennegrita"/>
          <w:sz w:val="22"/>
          <w:szCs w:val="22"/>
        </w:rPr>
        <w:t>Conclusiones</w:t>
      </w:r>
    </w:p>
    <w:p w:rsidR="005635BE" w:rsidRPr="00F25A4E" w:rsidRDefault="007018D6" w:rsidP="00F25A4E">
      <w:pPr>
        <w:pStyle w:val="NormalWeb"/>
        <w:spacing w:before="0" w:beforeAutospacing="0" w:after="0" w:afterAutospacing="0"/>
        <w:jc w:val="both"/>
        <w:rPr>
          <w:sz w:val="22"/>
          <w:szCs w:val="22"/>
        </w:rPr>
      </w:pPr>
      <w:r w:rsidRPr="00F25A4E">
        <w:rPr>
          <w:sz w:val="22"/>
          <w:szCs w:val="22"/>
        </w:rPr>
        <w:t xml:space="preserve">El 98% de los pacientes amputados eran diabéticos tipo 2 con mal control metabólico, de más de 10 años de evolución y 45% con comorbilidad cardiovascular. La complicación crónica </w:t>
      </w:r>
      <w:proofErr w:type="spellStart"/>
      <w:r w:rsidRPr="00F25A4E">
        <w:rPr>
          <w:sz w:val="22"/>
          <w:szCs w:val="22"/>
        </w:rPr>
        <w:t>microangiopática</w:t>
      </w:r>
      <w:proofErr w:type="spellEnd"/>
      <w:r w:rsidRPr="00F25A4E">
        <w:rPr>
          <w:sz w:val="22"/>
          <w:szCs w:val="22"/>
        </w:rPr>
        <w:t xml:space="preserve"> más frecuente fue la neuropatía (45%).</w:t>
      </w:r>
    </w:p>
    <w:p w:rsidR="005635BE" w:rsidRPr="00F25A4E" w:rsidRDefault="007018D6" w:rsidP="00F25A4E">
      <w:pPr>
        <w:pStyle w:val="NormalWeb"/>
        <w:spacing w:before="0" w:beforeAutospacing="0" w:after="0" w:afterAutospacing="0"/>
        <w:jc w:val="both"/>
        <w:rPr>
          <w:sz w:val="22"/>
          <w:szCs w:val="22"/>
        </w:rPr>
      </w:pPr>
      <w:r w:rsidRPr="00F25A4E">
        <w:rPr>
          <w:sz w:val="22"/>
          <w:szCs w:val="22"/>
        </w:rPr>
        <w:t>Se debe favorecer la evaluación por equipo de diabetes para optimizar control metabólico durante y después de la hospitalización.</w:t>
      </w:r>
    </w:p>
    <w:p w:rsidR="005635BE" w:rsidRPr="00F25A4E" w:rsidRDefault="007018D6" w:rsidP="00F25A4E">
      <w:pPr>
        <w:pStyle w:val="NormalWeb"/>
        <w:spacing w:before="0" w:beforeAutospacing="0" w:after="0" w:afterAutospacing="0"/>
        <w:jc w:val="both"/>
        <w:rPr>
          <w:sz w:val="22"/>
          <w:szCs w:val="22"/>
        </w:rPr>
      </w:pPr>
      <w:r w:rsidRPr="00F25A4E">
        <w:rPr>
          <w:sz w:val="22"/>
          <w:szCs w:val="22"/>
        </w:rPr>
        <w:t xml:space="preserve">Se requiere fortalecer el control multidisciplinario del diabético amputado. </w:t>
      </w:r>
    </w:p>
    <w:p w:rsidR="007018D6" w:rsidRPr="00F25A4E" w:rsidRDefault="007018D6" w:rsidP="00F25A4E">
      <w:pPr>
        <w:spacing w:after="0" w:line="240" w:lineRule="auto"/>
        <w:jc w:val="both"/>
        <w:rPr>
          <w:rFonts w:ascii="Times New Roman" w:eastAsia="Times New Roman" w:hAnsi="Times New Roman" w:cs="Times New Roman"/>
        </w:rPr>
      </w:pPr>
      <w:r w:rsidRPr="00F25A4E">
        <w:rPr>
          <w:rFonts w:ascii="Times New Roman" w:eastAsia="Times New Roman" w:hAnsi="Times New Roman" w:cs="Times New Roman"/>
          <w:b/>
          <w:bCs/>
        </w:rPr>
        <w:t xml:space="preserve">Financiamiento: </w:t>
      </w:r>
      <w:r w:rsidRPr="00F25A4E">
        <w:rPr>
          <w:rFonts w:ascii="Times New Roman" w:eastAsia="Times New Roman" w:hAnsi="Times New Roman" w:cs="Times New Roman"/>
        </w:rPr>
        <w:t xml:space="preserve">Sin financiamiento </w:t>
      </w:r>
      <w:bookmarkStart w:id="0" w:name="_GoBack"/>
      <w:bookmarkEnd w:id="0"/>
    </w:p>
    <w:sectPr w:rsidR="007018D6" w:rsidRPr="00F25A4E" w:rsidSect="00F25A4E">
      <w:pgSz w:w="11907" w:h="16839" w:code="9"/>
      <w:pgMar w:top="600" w:right="600" w:bottom="600" w:left="60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8D13C5"/>
    <w:rsid w:val="003C6238"/>
    <w:rsid w:val="00530E75"/>
    <w:rsid w:val="005635BE"/>
    <w:rsid w:val="00670953"/>
    <w:rsid w:val="007018D6"/>
    <w:rsid w:val="008D13C5"/>
    <w:rsid w:val="00F25A4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5B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635BE"/>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sid w:val="005635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528</Words>
  <Characters>2905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dc:creator>
  <cp:lastModifiedBy>Claudio Storm</cp:lastModifiedBy>
  <cp:revision>4</cp:revision>
  <dcterms:created xsi:type="dcterms:W3CDTF">2018-08-07T21:13:00Z</dcterms:created>
  <dcterms:modified xsi:type="dcterms:W3CDTF">2018-09-30T20:45:00Z</dcterms:modified>
</cp:coreProperties>
</file>